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MENTAL RESPONSIBILITY FOR CRIMINAL CONDUCT</w:t>
      </w:r>
    </w:p>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 person who is required to produce records by this section and intentionally or knowingly fails to do so within 20 days of the service of the written request upon the person may be subject to civil contempt for the person's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RR 2023, c. 2, Pt. D, §4 (COR). </w:t>
      </w:r>
    </w:p>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subsection 1, paragraph A who fails to comply with the conditions of release ordered by the court, as evidenced by the affidavit of any interested person, to return to the institution from which the person was released.  A hearing must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 (COR).]</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 person released under subsection 1, paragraph A whose reinstitutionalization, due to the likelihood that the person will cause injury to the person or others due to mental disease or mental defect, is considered necessary, upon the verified petition of any interested person, may be brought before any Justice of the Superior Court upon the justice's order.  A hearing must be held for the purpose of reviewing the mental condition of the person and the order for release.  The court may order the person detained for observation and treatment, if appropriate, at the institution from which the person was released pending the hearing, and that detention may not exceed 14 days.  The psychiatrist responsible for the observation or treatment of the person shall report to the court prior to the hearing as to the mental condition of the person, indicating specifically whether the person can remain in the community without likelihood that the person will cause injury to the person or others due to mental disease or mental defect.  The court shall receive the testimony of the psychiatrist who observed or treated the person during the period of detention and of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 (COR).]</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RR 2023, c. 2, Pt. D, §§5, 6 (COR). </w:t>
      </w:r>
    </w:p>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 MENTAL RESPONSIBILITY FOR CRIMINAL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