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1094-A</w:t>
        <w:t xml:space="preserve">.  </w:t>
      </w:r>
      <w:r>
        <w:rPr>
          <w:b/>
        </w:rPr>
        <w:t xml:space="preserve">Improper contact after bail has been revoked and denied</w:t>
      </w:r>
    </w:p>
    <w:p>
      <w:pPr>
        <w:jc w:val="both"/>
        <w:spacing w:before="100" w:after="100"/>
        <w:ind w:start="360"/>
        <w:ind w:firstLine="360"/>
      </w:pPr>
      <w:r>
        <w:rPr/>
      </w:r>
      <w:r>
        <w:rPr/>
      </w:r>
      <w:r>
        <w:t xml:space="preserve">A person is guilty of improper contact after bail has been revoked and denied if, while being detained as a result of the person’s preconviction or post-conviction bail having been revoked and denied, the person intentionally or knowingly makes direct or indirect contact with a person when that contact was prohibited under a former condition of release.  Violation of this section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604,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§1094-A. Improper contact after bail has been revoked and denied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§1094-A. Improper contact after bail has been revoked and denied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§1094-A. IMPROPER CONTACT AFTER BAIL HAS BEEN REVOKED AND DENIED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