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Proceedings for revocation of preconviction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preconviction bail based upon probable cause to believe that the defendant has failed to appear as required, has violated a condition of preconviction bail or has been charged with a crime allegedly committed while released on preconviction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preconviction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has violated a condition of preconviction bail or has been charged with a crime allegedly committed while released on preconviction bail.   A defendant under arrest pursuant to this section must be brought before any judge or justice of the appropriate court.  The judge or justice shall determine without hearing whether the existing preconviction bail order should be modified or whether the defendant should be committed without bail pending the bail revocation hearing.  If either the underlying crime or the new criminal conduct alleged is an offense specified in </w:t>
      </w:r>
      <w:r>
        <w:t>section 1023, subsection 4, paragraph B‑1</w:t>
      </w:r>
      <w:r>
        <w:t xml:space="preserve">, the judge or justice shall order that the defendant be committed without bail pending the bail revocation hearing, unless the judge or justice makes findings on the record that there are conditions of release that will reasonably ensure that the defendant will not commit new crimes while out on bail, that will reasonably ensure the defendant's appearance at the time and place required and that will ensure the integrity of the judicial process and the safety of others in the community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§22 (AMD). PL 2011, c. 341, §4 (AMD). PL 2011, c. 640,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§1095. Proceedings for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Proceedings for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§1095. PROCEEDINGS FOR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