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Grounds for revocation of preconviction bail</w:t>
      </w:r>
    </w:p>
    <w:p>
      <w:pPr>
        <w:jc w:val="both"/>
        <w:spacing w:before="100" w:after="100"/>
        <w:ind w:start="360"/>
        <w:ind w:firstLine="360"/>
      </w:pPr>
      <w:r>
        <w:rPr/>
      </w:r>
      <w:r>
        <w:rPr/>
      </w:r>
      <w:r>
        <w:t xml:space="preserve">A preconviction bail order of a bail commissioner may be revoked by any judge or justice, and a preconviction bail order of a judge or justice may be revoked by any judge or justice of the same court, upon a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2005, c. 449, §3 (AMD).]</w:t>
      </w:r>
    </w:p>
    <w:p>
      <w:pPr>
        <w:jc w:val="both"/>
        <w:spacing w:before="100" w:after="0"/>
        <w:ind w:start="360"/>
        <w:ind w:firstLine="360"/>
      </w:pPr>
      <w:r>
        <w:rPr>
          <w:b/>
        </w:rPr>
        <w:t>1</w:t>
        <w:t xml:space="preserve">.  </w:t>
      </w:r>
      <w:r>
        <w:rPr>
          <w:b/>
        </w:rPr>
        <w:t xml:space="preserve">Probable cause.</w:t>
        <w:t xml:space="preserve"> </w:t>
      </w:r>
      <w:r>
        <w:t xml:space="preserve"> </w:t>
      </w:r>
      <w:r>
        <w:t xml:space="preserve">Probable cause exists to believe that the defendant has committed a new crime following the setting of preconviction bail;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Clear and convincing evidence.</w:t>
        <w:t xml:space="preserve"> </w:t>
      </w:r>
      <w:r>
        <w:t xml:space="preserve"> </w:t>
      </w:r>
      <w:r>
        <w:t xml:space="preserve">Clear and convincing evidence exists that the defendant has failed to appear as required or has violated any other condition of the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2005, c. 449,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§1096. Grounds for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Grounds for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§1096. GROUNDS FOR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