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him to the other punishment provided by law for the same offense, with the condition that if such convict cannot be received at the work-jail to which he is sentenced, or if at any time before the expiration of said sentence, in the judgment of the inspectors of jails, he becomes incorrigible or unsafe, they may order that he suffer such alternative sentence or punishment. If said alternative sentence is to the State Prison, the sheriff of the county where such convict is imprisoned shall forthwith, upon receiving the order of said inspectors, cause said convict to be conveyed to the State Prison at the expense of the county where he was sentenced.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§1792. Alternative sentences to work-jails; authority of inspectors over incorrigible or dangerous convicts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 Alternative sentences to work-jails; authority of inspectors over incorrigible or dangerous convicts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§1792. ALTERNATIVE SENTENCES TO WORK-JAILS; AUTHORITY OF INSPECTORS OVER INCORRIGIBLE OR DANGEROUS CONVICTS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