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shall be given to the Attorney General and the district attorney for the county where the case was tried at least 4 weeks before the time of the hearing thereon, and 4 weeks' notice in a newspaper of general circulation in said county. If the crime for which said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said district attorney his necessary expenses for such attendance and a reasonable compensation for said district attorney's services to be paid from the State Treasury out of the appropriation for costs in criminal prosecutions. The Governor may require the judge and prosecuting officer who tried the case to furnish him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[PL 1987, c. 667,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§2161. NOTICE TO DISTRICT ATTORNEY AND ATTORNEY GENERAL OF ALL PETITIONS FOR PARDON OR COMMUTATION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