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Application</w:t>
      </w:r>
    </w:p>
    <w:p>
      <w:pPr>
        <w:jc w:val="both"/>
        <w:spacing w:before="100" w:after="100"/>
        <w:ind w:start="360"/>
        <w:ind w:firstLine="360"/>
      </w:pPr>
      <w:r>
        <w:rPr/>
      </w:r>
      <w:r>
        <w:rPr/>
      </w:r>
      <w:r>
        <w:t xml:space="preserve">This chapter is not intended to and may not be used to provide relief to a person who has stolen another person's identity and falsely used the identity in a criminal, civil violation or traffic infraction proceeding.</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