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2262</w:t>
        <w:t xml:space="preserve">.  </w:t>
      </w:r>
      <w:r>
        <w:rPr>
          <w:b/>
        </w:rPr>
        <w:t xml:space="preserve">Statutory prerequisites for sealing criminal history record information</w:t>
      </w:r>
    </w:p>
    <w:p>
      <w:pPr>
        <w:jc w:val="both"/>
        <w:spacing w:before="100" w:after="100"/>
        <w:ind w:start="360"/>
        <w:ind w:firstLine="360"/>
      </w:pPr>
      <w:r>
        <w:rPr/>
      </w:r>
      <w:r>
        <w:rPr/>
      </w:r>
      <w:r>
        <w:t xml:space="preserve">Except as provided in </w:t>
      </w:r>
      <w:r>
        <w:t>section 2262‑A</w:t>
      </w:r>
      <w:r>
        <w:t xml:space="preserve">, criminal history record information relating to a specific criminal conviction may be sealed under this chapter only if:</w:t>
      </w:r>
      <w:r>
        <w:t xml:space="preserve">  </w:t>
      </w:r>
      <w:r xmlns:wp="http://schemas.openxmlformats.org/drawingml/2010/wordprocessingDrawing" xmlns:w15="http://schemas.microsoft.com/office/word/2012/wordml">
        <w:rPr>
          <w:rFonts w:ascii="Arial" w:hAnsi="Arial" w:cs="Arial"/>
          <w:sz w:val="22"/>
          <w:szCs w:val="22"/>
        </w:rPr>
        <w:t xml:space="preserve">[PL 2023, c. 409, §1 (AMD).]</w:t>
      </w:r>
    </w:p>
    <w:p>
      <w:pPr>
        <w:jc w:val="both"/>
        <w:spacing w:before="100" w:after="0"/>
        <w:ind w:start="360"/>
        <w:ind w:firstLine="360"/>
      </w:pPr>
      <w:r>
        <w:rPr>
          <w:b/>
        </w:rPr>
        <w:t>1</w:t>
        <w:t xml:space="preserve">.  </w:t>
      </w:r>
      <w:r>
        <w:rPr>
          <w:b/>
        </w:rPr>
        <w:t xml:space="preserve">Eligible criminal conviction.</w:t>
        <w:t xml:space="preserve"> </w:t>
      </w:r>
      <w:r>
        <w:t xml:space="preserve"> </w:t>
      </w:r>
      <w:r>
        <w:t xml:space="preserve">The criminal conviction is an eligible criminal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2</w:t>
        <w:t xml:space="preserve">.  </w:t>
      </w:r>
      <w:r>
        <w:rPr>
          <w:b/>
        </w:rPr>
        <w:t xml:space="preserve">Time since sentence fully satisfied.</w:t>
        <w:t xml:space="preserve"> </w:t>
      </w:r>
      <w:r>
        <w:t xml:space="preserve"> </w:t>
      </w:r>
      <w:r>
        <w:t xml:space="preserve">At least 4 years have passed since the person has fully satisfied each of the sentencing alternatives imposed under </w:t>
      </w:r>
      <w:r>
        <w:t>Title 17‑A, section 1502, subsection 2</w:t>
      </w:r>
      <w:r>
        <w:t xml:space="preserve"> for the eligible criminal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3</w:t>
        <w:t xml:space="preserve">.  </w:t>
      </w:r>
      <w:r>
        <w:rPr>
          <w:b/>
        </w:rPr>
        <w:t xml:space="preserve">Other convictions in this State.</w:t>
        <w:t xml:space="preserve"> </w:t>
      </w:r>
      <w:r>
        <w:t xml:space="preserve"> </w:t>
      </w:r>
      <w:r>
        <w:t xml:space="preserve">The person has not been convicted of another crime in this State and has not had a criminal charge dismissed as a result of a deferred disposition pursuant to Title 17-A, former chapter 54-F or </w:t>
      </w:r>
      <w:r>
        <w:t>Title 17‑A, chapter 67, subchapter 4</w:t>
      </w:r>
      <w:r>
        <w:t xml:space="preserve"> since the time at which the person fully satisfied each of the sentencing alternatives imposed under </w:t>
      </w:r>
      <w:r>
        <w:t>Title 17‑A, section 1502, subsection 2</w:t>
      </w:r>
      <w:r>
        <w:t xml:space="preserve"> for the person's most recent eligible criminal conviction up until the time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4</w:t>
        <w:t xml:space="preserve">.  </w:t>
      </w:r>
      <w:r>
        <w:rPr>
          <w:b/>
        </w:rPr>
        <w:t xml:space="preserve">Convictions in another jurisdiction.</w:t>
        <w:t xml:space="preserve"> </w:t>
      </w:r>
      <w:r>
        <w:t xml:space="preserve"> </w:t>
      </w:r>
      <w:r>
        <w:t xml:space="preserve">The person has not been convicted of a crime in another jurisdiction since the time at which the person fully satisfied each of the sentencing alternatives imposed under </w:t>
      </w:r>
      <w:r>
        <w:t>Title 17‑A, section 1502, subsection 2</w:t>
      </w:r>
      <w:r>
        <w:t xml:space="preserve"> for the person's most recent eligible criminal conviction up until the time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5</w:t>
        <w:t xml:space="preserve">.  </w:t>
      </w:r>
      <w:r>
        <w:rPr>
          <w:b/>
        </w:rPr>
        <w:t xml:space="preserve">Pending criminal charges.</w:t>
        <w:t xml:space="preserve"> </w:t>
      </w:r>
      <w:r>
        <w:t xml:space="preserve"> </w:t>
      </w:r>
      <w:r>
        <w:t xml:space="preserve">The person does not have any presently pending criminal charges in this State or in another jurisdiction;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6</w:t>
        <w:t xml:space="preserve">.  </w:t>
      </w:r>
      <w:r>
        <w:rPr>
          <w:b/>
        </w:rPr>
        <w:t xml:space="preserve">Age of person at time of commission.</w:t>
        <w:t xml:space="preserve"> </w:t>
      </w:r>
      <w:r>
        <w:t xml:space="preserve"> </w:t>
      </w:r>
      <w:r>
        <w:t xml:space="preserve">At the time of the commission of the crime underlying the eligible criminal conviction, the person had in fact attained 18 years of age but had not attained 28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PL 2023, c. 409,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§2262. Statutory prerequisites for sealing criminal history record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§2262. Statutory prerequisites for sealing criminal history record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§2262. STATUTORY PREREQUISITES FOR SEALING CRIMINAL HISTORY RECORD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