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Special restrictions on dissemination and use of criminal history record information</w:t>
      </w:r>
    </w:p>
    <w:p>
      <w:pPr>
        <w:jc w:val="both"/>
        <w:spacing w:before="100" w:after="100"/>
        <w:ind w:start="360"/>
        <w:ind w:firstLine="360"/>
      </w:pPr>
      <w:r>
        <w:rPr/>
      </w:r>
      <w:r>
        <w:rPr/>
      </w:r>
      <w:r>
        <w:t xml:space="preserve">Notwithstanding </w:t>
      </w:r>
      <w:r>
        <w:t>Title 16, section 704</w:t>
      </w:r>
      <w:r>
        <w:t xml:space="preserve">, the criminal history record information relating to a criminal conviction sealed under </w:t>
      </w:r>
      <w:r>
        <w:t>section 2264</w:t>
      </w:r>
      <w:r>
        <w:t xml:space="preserve"> is confidential, must be treated as confidential criminal history record information for the purposes of dissemination to the public under </w:t>
      </w:r>
      <w:r>
        <w:t>Title 16, section 705</w:t>
      </w:r>
      <w:r>
        <w:t xml:space="preserve"> and may not be disseminated by a criminal justice agency, whether directly or through any intermediary, except as provided in </w:t>
      </w:r>
      <w:r>
        <w:t>Title 16, section 705</w:t>
      </w:r>
      <w:r>
        <w:t xml:space="preserve"> and as set out in this section.  In addition to the dissemination authorized by </w:t>
      </w:r>
      <w:r>
        <w:t>Title 16, section 705</w:t>
      </w:r>
      <w:r>
        <w:t xml:space="preserve">, a criminal justice agency may disseminate the sealed criminal history record information to:</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360"/>
        <w:ind w:firstLine="360"/>
      </w:pPr>
      <w:r>
        <w:rPr>
          <w:b/>
        </w:rPr>
        <w:t>1</w:t>
        <w:t xml:space="preserve">.  </w:t>
      </w:r>
      <w:r>
        <w:rPr>
          <w:b/>
        </w:rPr>
        <w:t xml:space="preserve">Subject of conviction.</w:t>
        <w:t xml:space="preserve"> </w:t>
      </w:r>
      <w:r>
        <w:t xml:space="preserve"> </w:t>
      </w:r>
      <w:r>
        <w:t xml:space="preserve">The person who is the subject of the criminal conviction or that person's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2</w:t>
        <w:t xml:space="preserve">.  </w:t>
      </w:r>
      <w:r>
        <w:rPr>
          <w:b/>
        </w:rPr>
        <w:t xml:space="preserve">Criminal justice agency.</w:t>
        <w:t xml:space="preserve"> </w:t>
      </w:r>
      <w:r>
        <w:t xml:space="preserve"> </w:t>
      </w:r>
      <w:r>
        <w:t xml:space="preserve">A criminal justice agency for the purpose of the administration of criminal justice and criminal justice agency employment.  For the purposes of this subsection, dissemination to a criminal justice agency for the purpose of the administration of criminal justice includes:</w:t>
      </w:r>
    </w:p>
    <w:p>
      <w:pPr>
        <w:jc w:val="both"/>
        <w:spacing w:before="100" w:after="0"/>
        <w:ind w:start="720"/>
      </w:pPr>
      <w:r>
        <w:rPr/>
        <w:t>A</w:t>
        <w:t xml:space="preserve">.  </w:t>
      </w:r>
      <w:r>
        <w:rPr/>
      </w:r>
      <w:r>
        <w:t xml:space="preserve">Dissemination and use of the criminal history record information relating to the sealed record by an attorney for the State or for another jurisdiction as part of a prosecution of the person for a new crime, including use in a charging instrument or other public court document and in open court; and</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Dissemination and use of the criminal history record information relating to the sealed record as permitted by the Maine Rules of Evidence and to comply with discovery requirements of the Maine Rules of Civil Procedure and the Maine Rules of Unified Criminal Procedure;</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3</w:t>
        <w:t xml:space="preserve">.  </w:t>
      </w:r>
      <w:r>
        <w:rPr>
          <w:b/>
        </w:rPr>
        <w:t xml:space="preserve">Secretary of State.</w:t>
        <w:t xml:space="preserve"> </w:t>
      </w:r>
      <w:r>
        <w:t xml:space="preserve"> </w:t>
      </w:r>
      <w:r>
        <w:t xml:space="preserve">The Secretary of State to ensure compliance with state and federal motor vehicle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100"/>
        <w:ind w:start="360"/>
        <w:ind w:firstLine="360"/>
      </w:pPr>
      <w:r>
        <w:rPr>
          <w:b/>
        </w:rPr>
        <w:t>4</w:t>
        <w:t xml:space="preserve">.  </w:t>
      </w:r>
      <w:r>
        <w:rPr>
          <w:b/>
        </w:rPr>
        <w:t xml:space="preserve">Victims.</w:t>
        <w:t xml:space="preserve"> </w:t>
      </w:r>
      <w:r>
        <w:t xml:space="preserve"> </w:t>
      </w:r>
      <w:r>
        <w:t xml:space="preserve">The victim or victims of the crime related to the conviction or:</w:t>
      </w:r>
    </w:p>
    <w:p>
      <w:pPr>
        <w:jc w:val="both"/>
        <w:spacing w:before="100" w:after="0"/>
        <w:ind w:start="720"/>
      </w:pPr>
      <w:r>
        <w:rPr/>
        <w:t>A</w:t>
        <w:t xml:space="preserve">.  </w:t>
      </w:r>
      <w:r>
        <w:rPr/>
      </w:r>
      <w:r>
        <w:t xml:space="preserve">If the victim is a minor, to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w:pPr>
        <w:jc w:val="both"/>
        <w:spacing w:before="100" w:after="0"/>
        <w:ind w:start="720"/>
      </w:pPr>
      <w:r>
        <w:rPr/>
        <w:t>B</w:t>
        <w:t xml:space="preserve">.  </w:t>
      </w:r>
      <w:r>
        <w:rPr/>
      </w:r>
      <w:r>
        <w:t xml:space="preserve">If the victim cannot act on the victim's own behalf due to death, age, physical or mental disease or disorder, intellectual disability or autism or other reason, to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5</w:t>
        <w:t xml:space="preserve">.  </w:t>
      </w:r>
      <w:r>
        <w:rPr>
          <w:b/>
        </w:rPr>
        <w:t xml:space="preserve">Financial services regulatory agencies.</w:t>
        <w:t xml:space="preserve"> </w:t>
      </w:r>
      <w:r>
        <w:t xml:space="preserve"> </w:t>
      </w:r>
      <w:r>
        <w:t xml:space="preserve">The Department of Professional and Financial Regulation, Bureau of Insurance, Bureau of Consumer Credit Protection, Bureau of Financial Institutions and Office of Securities to ensure compliance with </w:t>
      </w:r>
      <w:r>
        <w:t>Titles 9‑A</w:t>
      </w:r>
      <w:r>
        <w:t xml:space="preserve">, </w:t>
      </w:r>
      <w:r>
        <w:t>9‑B</w:t>
      </w:r>
      <w:r>
        <w:t xml:space="preserve">, </w:t>
      </w:r>
      <w:r>
        <w:t>10</w:t>
      </w:r>
      <w:r>
        <w:t xml:space="preserve">, </w:t>
      </w:r>
      <w:r>
        <w:t>24</w:t>
      </w:r>
      <w:r>
        <w:t xml:space="preserve">, </w:t>
      </w:r>
      <w:r>
        <w:t>24‑A</w:t>
      </w:r>
      <w:r>
        <w:t xml:space="preserve"> and </w:t>
      </w:r>
      <w:r>
        <w:t>32</w:t>
      </w:r>
      <w:r>
        <w:t xml:space="preserve">, as applicable, and any state or federal requirement to perform criminal background checks by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6</w:t>
        <w:t xml:space="preserve">.  </w:t>
      </w:r>
      <w:r>
        <w:rPr>
          <w:b/>
        </w:rPr>
        <w:t xml:space="preserve">Professional licensing agencies.</w:t>
        <w:t xml:space="preserve"> </w:t>
      </w:r>
      <w:r>
        <w:t xml:space="preserve"> </w:t>
      </w:r>
      <w:r>
        <w:t xml:space="preserve">Licensing agencies conducting criminal history record checks for licensees, registrants and applicants for licensure or registration by the agencies; licensing agencies performing regulatory functions enumerated in </w:t>
      </w:r>
      <w:r>
        <w:t>Title 5, section 5303, subsection 2</w:t>
      </w:r>
      <w:r>
        <w:t xml:space="preserve">; and the State Board of Veterinary Medicine pursuant to </w:t>
      </w:r>
      <w:r>
        <w:t>Title 32, chapter 71‑A</w:t>
      </w:r>
      <w:r>
        <w:t xml:space="preserve"> to conduct a background check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7</w:t>
        <w:t xml:space="preserve">.  </w:t>
      </w:r>
      <w:r>
        <w:rPr>
          <w:b/>
        </w:rPr>
        <w:t xml:space="preserve">Financial institutions.</w:t>
        <w:t xml:space="preserve"> </w:t>
      </w:r>
      <w:r>
        <w:t xml:space="preserve"> </w:t>
      </w:r>
      <w:r>
        <w:t xml:space="preserve">A financial institution if the financial institution is required by federal or state law, regulation or rule to conduct a criminal history record check for the position for which a prospective employee or prospective board member is applying;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w:pPr>
        <w:jc w:val="both"/>
        <w:spacing w:before="100" w:after="0"/>
        <w:ind w:start="360"/>
        <w:ind w:firstLine="360"/>
      </w:pPr>
      <w:r>
        <w:rPr>
          <w:b/>
        </w:rPr>
        <w:t>8</w:t>
        <w:t xml:space="preserve">.  </w:t>
      </w:r>
      <w:r>
        <w:rPr>
          <w:b/>
        </w:rPr>
        <w:t xml:space="preserve">Subject to fingerprinting.</w:t>
        <w:t xml:space="preserve"> </w:t>
      </w:r>
      <w:r>
        <w:t xml:space="preserve"> </w:t>
      </w:r>
      <w:r>
        <w:t xml:space="preserve">An entity that is required by federal or state law to conduct a fingerprint-based criminal history record check pursuant to </w:t>
      </w:r>
      <w:r>
        <w:t>Title 25, section 1542‑A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Special restrictions on dissemination and use of criminal history record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§2265. SPECIAL RESTRICTIONS ON DISSEMINATION AND USE OF CRIMINAL HISTORY RECORD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