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Review of determination of eligibility; review of determination of subsequent criminal conviction</w:t>
      </w:r>
    </w:p>
    <w:p>
      <w:pPr>
        <w:jc w:val="both"/>
        <w:spacing w:before="100" w:after="100"/>
        <w:ind w:start="360"/>
        <w:ind w:firstLine="360"/>
      </w:pPr>
      <w:r>
        <w:rPr/>
      </w:r>
      <w:r>
        <w:rPr/>
      </w:r>
      <w:r>
        <w:t xml:space="preserve">A written order entered under </w:t>
      </w:r>
      <w:r>
        <w:t>section 2264, subsection 5</w:t>
      </w:r>
      <w:r>
        <w:t xml:space="preserve"> or </w:t>
      </w:r>
      <w:r>
        <w:t>7</w:t>
      </w:r>
      <w:r>
        <w:t xml:space="preserve"> may be reviewed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Appeal by person.</w:t>
        <w:t xml:space="preserve"> </w:t>
      </w:r>
      <w:r>
        <w:t xml:space="preserve"> </w:t>
      </w:r>
      <w:r>
        <w:t xml:space="preserve">A person aggrieved by a written order under </w:t>
      </w:r>
      <w:r>
        <w:t>section 2264,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Appeal by State.</w:t>
        <w:t xml:space="preserve"> </w:t>
      </w:r>
      <w:r>
        <w:t xml:space="preserve"> </w:t>
      </w:r>
      <w:r>
        <w:t xml:space="preserve">If the State is aggrieved by a written order under </w:t>
      </w:r>
      <w:r>
        <w:t>section 2264,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§2267.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Review of determination of eligibility; review of determination of subsequent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§2267. REVIEW OF DETERMINATION OF ELIGIBILITY; REVIEW OF DETERMINATION OF SUBSEQUENT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