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2268</w:t>
        <w:t xml:space="preserve">.  </w:t>
      </w:r>
      <w:r>
        <w:rPr>
          <w:b/>
        </w:rPr>
        <w:t xml:space="preserve">Eligible criminal conviction sealed under former chapter 310</w:t>
      </w:r>
    </w:p>
    <w:p>
      <w:pPr>
        <w:jc w:val="both"/>
        <w:spacing w:before="100" w:after="100"/>
        <w:ind w:start="360"/>
        <w:ind w:firstLine="360"/>
      </w:pPr>
      <w:r>
        <w:rPr/>
      </w:r>
      <w:r>
        <w:rPr/>
      </w:r>
      <w:r>
        <w:t xml:space="preserve">Notwithstanding </w:t>
      </w:r>
      <w:r>
        <w:t>Title 16, section 704</w:t>
      </w:r>
      <w:r>
        <w:t xml:space="preserve">, the criminal history record information relating to a criminal conviction for which the court has determined the person is entitled to special restrictions on dissemination and use under former section 2254 is confidential and may not be disseminated by a criminal justice agency, whether directly or through any intermediary, except to the person who is the subject of the criminal conviction or that person's designee and to a criminal justice agency for the purpose of the administration of criminal justice and criminal justice agency employment.  For the purposes of this section, dissemination to a criminal justice agency for the purpose of the administration of criminal justice includes dissemination and use of the criminal history record information relating to the qualifying criminal conviction by an attorney for the State or for another jurisdiction as part of a prosecution of the person for a new crime, including use in a charging instrument or other public court document and in open court.</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100"/>
        <w:ind w:start="360"/>
        <w:ind w:firstLine="360"/>
      </w:pPr>
      <w:r>
        <w:rPr/>
      </w:r>
      <w:r>
        <w:rPr/>
      </w:r>
      <w:r>
        <w:t>Section 2264, subsection 7</w:t>
      </w:r>
      <w:r>
        <w:t xml:space="preserve"> applies to a criminal conviction for which the court has determined the person is entitled to special restrictions on dissemination and use under former section 2254 if the person is convicted of a new crime.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§2268. Eligible criminal conviction sealed under former chapter 310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§2268. Eligible criminal conviction sealed under former chapter 310</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§2268. ELIGIBLE CRIMINAL CONVICTION SEALED UNDER FORMER CHAPTER 310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