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§3005. FORMS, OTHER THAN COURT FORMS, REPORTING FORMATS, AND OTHER STANDARDIZED WRITTEN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