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Restriction on no-knock warrants; requirements for no-knock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Restriction on no-knock warrants; requirements for no-knock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§57. RESTRICTION ON NO-KNOCK WARRANTS; REQUIREMENTS FOR NO-KNOCK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