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§5821-B. Property not subject to forfeiture based on adult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§5821-B. Property not subject to forfeiture based on adult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§5821-B. PROPERTY NOT SUBJECT TO FORFEITURE BASED ON ADULT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