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an offense has not been committed or that there is not probable cause to charge the accused, on motion of the defendant the judge shall render judgment whether or not the complaint is frivolous or malicious. If the judge judges the complaint to be frivolous or malicious, the judge shall order the complainant to pay the costs of prosecution and shall issue execution in favor of the county and against the complainant for that sum and may receive and pay over those costs to the county treasurer for the use of the county and, if the costs are not paid, the judge shall return the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[RR 2023, c. 2, Pt. D,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RR 2023, c. 2, Pt. D,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Complaint adjudged frivolous or malicious;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§806. COMPLAINT ADJUDGED FRIVOLOUS OR MALICIOUS;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