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637</w:t>
        <w:t xml:space="preserve">.  </w:t>
      </w:r>
      <w:r>
        <w:rPr>
          <w:b/>
        </w:rPr>
        <w:t xml:space="preserve">Meetings</w:t>
      </w:r>
    </w:p>
    <w:p>
      <w:pPr>
        <w:jc w:val="both"/>
        <w:spacing w:before="100" w:after="100"/>
        <w:ind w:start="360"/>
        <w:ind w:firstLine="360"/>
      </w:pPr>
      <w:r>
        <w:rPr/>
      </w:r>
      <w:r>
        <w:rPr/>
      </w:r>
      <w:r>
        <w:t xml:space="preserve">The board may meet at such time or times as necessary to carry out its duties, but at least one time in each calendar quarter at a place and time as the board determines and at the call of the chair.  The board shall elect annually a chair, vice-chair, secretary and a treasurer from among its members.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§637.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§637.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§637.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