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646</w:t>
        <w:t xml:space="preserve">.  </w:t>
      </w:r>
      <w:r>
        <w:rPr>
          <w:b/>
        </w:rPr>
        <w:t xml:space="preserve">Violations; injunctive relief</w:t>
      </w:r>
    </w:p>
    <w:p>
      <w:pPr>
        <w:jc w:val="both"/>
        <w:spacing w:before="100" w:after="100"/>
        <w:ind w:start="360"/>
        <w:ind w:firstLine="360"/>
      </w:pPr>
      <w:r>
        <w:rPr/>
      </w:r>
      <w:r>
        <w:rPr/>
      </w:r>
      <w:r>
        <w:t xml:space="preserve">A person damaged as a result of a violation of this subchapter has a cause of action in court against a government entity that fails to comply with the provisions of this subchapter, and the court may award injunctive relief.</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100"/>
        <w:ind w:start="360"/>
      </w:pPr>
      <w:r>
        <w:rPr>
          <w:b w:val="true"/>
          <w:i/>
          <w:caps w:val="true"/>
        </w:rPr>
        <w:t xml:space="preserve">Revisor's Note: </w:t>
      </w:r>
      <w:r>
        <w:t>§646.  Action against a corporation (As enacted by PL 2013, c. 409, §1 is REALLOCATED TO TITLE 16, SECTION 650-B)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§33 (RAL). PL 2013, c. 402, §1 (NEW). PL 2013, c. 409,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§646. Violations; injunctive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§646. Violations; injunctive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§646. VIOLATIONS; INJUNCTIVE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