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OFFENSES AGAINST THE FAMILY</w:t>
      </w:r>
    </w:p>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OFFENSES AGAINST THE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OFFENSES AGAINST THE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23. OFFENSES AGAINST THE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