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54-B. COUNTY JAIL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