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 and</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r>
        <w:t xml:space="preserve">  </w:t>
      </w:r>
      <w:r xmlns:wp="http://schemas.openxmlformats.org/drawingml/2010/wordprocessingDrawing" xmlns:w15="http://schemas.microsoft.com/office/word/2012/wordml">
        <w:rPr>
          <w:rFonts w:ascii="Arial" w:hAnsi="Arial" w:cs="Arial"/>
          <w:sz w:val="22"/>
          <w:szCs w:val="22"/>
        </w:rPr>
        <w:t xml:space="preserve">[PL 2023, c. 178, §1 (AMD); PL 2023, c. 316, §11 (AMD); PL 2023, c. 405, Pt. A, §34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§1 (AMD); PL 2023, c. 178, §1 (AMD); PL 2023, c. 316, §11 (AMD); PL 2023, c. 405, Pt. A, §34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§1111-B. Immunity from arrest, prosecution and revocation and termination proceedings when assistance has been requested for suspected drug-related overdose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§1111-B. Immunity from arrest, prosecution and revocation and termination proceedings when assistance has been requested for suspected drug-related overdose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§1111-B. IMMUNITY FROM ARREST, PROSECUTION AND REVOCATION AND TERMINATION PROCEEDINGS WHEN ASSISTANCE HAS BEEN REQUESTED FOR SUSPECTED DRUG-RELATED OVERDOSE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