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Eligibility for sentence alternative that includes 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§28 (COR). PL 2003, c. 711, §A19 (NEW). PL 2005, c. 265, §15 (AMD). PL 2005, c. 606, §B1 (AMD). PL 2007, c. 344, §6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 Eligibility for sentence alternative that includes period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Eligibility for sentence alternative that includes period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 ELIGIBILITY FOR SENTENCE ALTERNATIVE THAT INCLUDES PERIOD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