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Forfeiture of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Forfeiture of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§1504. FORFEITURE OF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