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w:t>
      </w:r>
      <w:r>
        <w:t>chapter 9</w:t>
      </w:r>
      <w:r>
        <w:t xml:space="preserve"> or </w:t>
      </w:r>
      <w:r>
        <w:t>13</w:t>
      </w:r>
      <w:r>
        <w:t xml:space="preserve"> or </w:t>
      </w:r>
      <w:r>
        <w:t>section 758</w:t>
      </w:r>
      <w:r>
        <w:t xml:space="preserve">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w:t>
      </w:r>
      <w:r>
        <w:t>Title 19‑A, section 4014</w:t>
      </w:r>
      <w:r>
        <w:t xml:space="preserve">,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§11 (AMD).]</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§1807.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