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§1855. Commencement of administrative release revocation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Commencement of administrative release revocation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§1855. COMMENCEMENT OF ADMINISTRATIVE RELEASE REVOCATION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