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Court hearing on administrative release revocation</w:t>
      </w:r>
    </w:p>
    <w:p>
      <w:pPr>
        <w:jc w:val="both"/>
        <w:spacing w:before="100" w:after="100"/>
        <w:ind w:start="360"/>
        <w:ind w:firstLine="360"/>
      </w:pPr>
      <w:r>
        <w:rPr/>
      </w:r>
      <w:r>
        <w:rPr/>
      </w:r>
      <w:r>
        <w:t xml:space="preserve">The hearing on a motion to revoke administrative release is governed by </w:t>
      </w:r>
      <w:r>
        <w:t>section 1812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§1856. Court hearing on administrative release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Court hearing on administrative release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§1856. COURT HEARING ON ADMINISTRATIVE RELEASE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