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2031</w:t>
        <w:t xml:space="preserve">.  </w:t>
      </w:r>
      <w:r>
        <w:rPr>
          <w:b/>
        </w:rPr>
        <w:t xml:space="preserve">Sentencing alternative of community service work; authorization</w:t>
      </w:r>
    </w:p>
    <w:p>
      <w:pPr>
        <w:jc w:val="both"/>
        <w:spacing w:before="100" w:after="100"/>
        <w:ind w:start="360"/>
        <w:ind w:firstLine="360"/>
      </w:pPr>
      <w:r>
        <w:rPr/>
      </w:r>
      <w:r>
        <w:rPr/>
      </w:r>
      <w:r>
        <w:t xml:space="preserve">The court may sentence an individual convicted of a Class D or Class E crime to perform a specified number of hours of community service work for the benefit of the State, a county, a municipality, a school administrative unit or other public entity, a charitable institution or another entity approved by the court.</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§2031. Sentencing alternative of community service work; authorization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§2031. Sentencing alternative of community service work; authorization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§2031. SENTENCING ALTERNATIVE OF COMMUNITY SERVICE WORK; AUTHORIZATION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