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§207-A. Domestic violence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§207-A. Domestic violence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§207-A. DOMESTIC VIOLENCE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