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w:t>
        <w:t xml:space="preserve"> </w:t>
      </w:r>
      <w:r>
        <w:t xml:space="preserve"> </w:t>
      </w:r>
      <w:r>
        <w:t xml:space="preserve">"Crime" means a criminal offense in which, as defined, there is a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under this chapter.</w:t>
      </w:r>
    </w:p>
    <w:p>
      <w:pPr>
        <w:jc w:val="both"/>
        <w:spacing w:before="100" w:after="0"/>
        <w:ind w:start="720"/>
      </w:pPr>
      <w:r>
        <w:rPr/>
      </w:r>
      <w:r>
        <w:rPr/>
      </w:r>
      <w:r>
        <w:t xml:space="preserve">As used in this paragraph, "immediate family" means the spouse, domestic partner, parent, child, sibling, stepchild or stepparent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