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2304</w:t>
        <w:t xml:space="preserve">.  </w:t>
      </w:r>
      <w:r>
        <w:rPr>
          <w:b/>
        </w:rPr>
        <w:t xml:space="preserve">Notification of commitment to Department of Corrections</w:t>
      </w:r>
    </w:p>
    <w:p>
      <w:pPr>
        <w:jc w:val="both"/>
        <w:spacing w:before="100" w:after="100"/>
        <w:ind w:start="360"/>
        <w:ind w:firstLine="360"/>
      </w:pPr>
      <w:r>
        <w:rPr/>
      </w:r>
      <w:r>
        <w:rPr/>
      </w:r>
      <w:r>
        <w:t xml:space="preserve">At the time of sentencing, the sheriff or the sheriff's designee shall notify the Commissioner of Corrections or the commissioner's designee that an individual has been committed to the Department of Corrections and shall inquire as to the correctional facility to which the individual must be delivered by the sheriff or the sheriff's designee.  The commissioner or the commissioner's designee has complete discretion to determine the initial place of confinement.  In making this determination, the commissioner or the commissioner's designee shall review all relevant information, including any available mental health information.  The commissioner or the commissioner's designee shall immediately inform the sheriff or the sheriff's designee of the location of the correctional facility to which the individual must be transported.</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§2304. Notification of commitment to Department of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§2304. Notification of commitment to Department of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§2304. NOTIFICATION OF COMMITMENT TO DEPARTMENT OF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