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Discretionary deductions based on conduct and fulfillment of responsibilities for individuals who commit certain crimes on or after August 1, 2004</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commits on or after August 1, 2004 one or more of the following crimes and is sentenced to imprisonment for that crime:</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§21 (AMD).]</w:t>
      </w:r>
    </w:p>
    <w:p>
      <w:pPr>
        <w:jc w:val="both"/>
        <w:spacing w:before="100" w:after="100"/>
        <w:ind w:start="360"/>
        <w:ind w:firstLine="360"/>
      </w:pPr>
      <w:r>
        <w:rPr>
          <w:b/>
        </w:rPr>
        <w:t>2</w:t>
        <w:t xml:space="preserve">.  </w:t>
      </w:r>
      <w:r>
        <w:rPr>
          <w:b/>
        </w:rPr>
        <w:t xml:space="preserve">Commitment to Department of Corrections or specified jail; discretionary 5 days per month deduction.</w:t>
        <w:t xml:space="preserve"> </w:t>
      </w:r>
      <w:r>
        <w:t xml:space="preserve"> </w:t>
      </w:r>
      <w:r>
        <w:t xml:space="preserve">For an individual who commits a crime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§2308. Discretionary deductions based on conduct and fulfillment of responsibilities for individuals who commit certain crimes on or after August 1, 2004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Discretionary deductions based on conduct and fulfillment of responsibilities for individuals who commit certain crimes on or after August 1, 2004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§2308. DISCRETIONARY DEDUCTIONS BASED ON CONDUCT AND FULFILLMENT OF RESPONSIBILITIES FOR INDIVIDUALS WHO COMMIT CERTAIN CRIMES ON OR AFTER AUGUST 1, 2004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