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§254-A. Written notification not to pursue charges for sexual abuse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Written notification not to pursue charges for sexual abuse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§254-A. WRITTEN NOTIFICATION NOT TO PURSUE CHARGES FOR SEXUAL ABUSE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