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554-A</w:t>
        <w:t xml:space="preserve">.  </w:t>
      </w:r>
      <w:r>
        <w:rPr>
          <w:b/>
        </w:rPr>
        <w:t xml:space="preserve">Unlawful transfer of a firearm other than a handgun to a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263,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512, §1 (RP).]</w:t>
      </w:r>
    </w:p>
    <w:p>
      <w:pPr>
        <w:jc w:val="both"/>
        <w:spacing w:before="100" w:after="0"/>
        <w:ind w:start="720"/>
      </w:pPr>
      <w:r>
        <w:rPr/>
        <w:t>C</w:t>
        <w:t xml:space="preserve">.  </w:t>
      </w:r>
      <w:r>
        <w:rPr/>
      </w:r>
      <w:r>
        <w:t xml:space="preserve">"Sell" means to furnish, deliver or otherwise provide for consideration.</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D</w:t>
        <w:t xml:space="preserve">.  </w:t>
      </w:r>
      <w:r>
        <w:rPr/>
      </w:r>
      <w:r>
        <w:t xml:space="preserve">"Firearm" means a firearm other than a handgun as defined in </w:t>
      </w:r>
      <w:r>
        <w:t>section 554‑B,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0"/>
        <w:ind w:start="360"/>
        <w:ind w:firstLine="360"/>
      </w:pPr>
      <w:r>
        <w:rPr>
          <w:b/>
        </w:rPr>
        <w:t>2</w:t>
        <w:t xml:space="preserve">.  </w:t>
      </w:r>
      <w:r>
        <w:rPr>
          <w:b/>
        </w:rPr>
      </w:r>
      <w:r>
        <w:t xml:space="preserve"> </w:t>
      </w:r>
      <w:r>
        <w:t xml:space="preserve">A person is guilty of unlawfully transferring a firearm to a person under 16 years of age if that person, who is not the parent, foster parent or guardian of the person under 16 years of age, knowingly transfers a firearm to a person under 16 years of age.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2-A</w:t>
        <w:t xml:space="preserve">.  </w:t>
      </w:r>
      <w:r>
        <w:rPr>
          <w:b/>
        </w:rPr>
      </w:r>
      <w:r>
        <w:t xml:space="preserve"> </w:t>
      </w:r>
      <w:r>
        <w:t xml:space="preserve">A person is guilty of unlawfully selling a firearm to a person 16 years of age or older and under 18 years of age if that person, who is not the parent, foster parent or guardian of the person 16 years of age or older and under 18 years of age, knowingly sells a firearm to a person 16 years of age or older and under 18 years of age.</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A person who violates this subsection after having been adjudicated as having committed one or more violations under this subsection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100"/>
        <w:ind w:start="360"/>
        <w:ind w:firstLine="360"/>
      </w:pPr>
      <w:r>
        <w:rPr>
          <w:b/>
        </w:rPr>
        <w:t>3</w:t>
        <w:t xml:space="preserve">.  </w:t>
      </w:r>
      <w:r>
        <w:rPr>
          <w:b/>
        </w:rPr>
      </w:r>
      <w:r>
        <w:t xml:space="preserve"> </w:t>
      </w:r>
      <w:r>
        <w:t xml:space="preserve">It is an affirmative defense to a prosecution under </w:t>
      </w:r>
      <w:r>
        <w:t>subsection 2</w:t>
      </w:r>
      <w:r>
        <w:t xml:space="preserve"> that:</w:t>
      </w:r>
    </w:p>
    <w:p>
      <w:pPr>
        <w:jc w:val="both"/>
        <w:spacing w:before="100" w:after="0"/>
        <w:ind w:start="720"/>
      </w:pPr>
      <w:r>
        <w:rPr/>
        <w:t>A</w:t>
        <w:t xml:space="preserve">.  </w:t>
      </w:r>
      <w:r>
        <w:rPr/>
      </w:r>
      <w:r>
        <w:t xml:space="preserve">The actor reasonably believed the person receiving the firearm had attained 16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w:pPr>
        <w:jc w:val="both"/>
        <w:spacing w:before="100" w:after="0"/>
        <w:ind w:start="720"/>
      </w:pPr>
      <w:r>
        <w:rPr/>
        <w:t>B</w:t>
        <w:t xml:space="preserve">.  </w:t>
      </w:r>
      <w:r>
        <w:rPr/>
      </w:r>
      <w:r>
        <w:t xml:space="preserve">The transfer of the firearm to the person under 16 years of age was approved by the parent, foster parent or guardian of the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3-A</w:t>
        <w:t xml:space="preserve">.  </w:t>
      </w:r>
      <w:r>
        <w:rPr>
          <w:b/>
        </w:rPr>
      </w:r>
      <w:r>
        <w:t xml:space="preserve"> </w:t>
      </w:r>
      <w:r>
        <w:t xml:space="preserve">It is an affirmative defense to a prosecution under </w:t>
      </w:r>
      <w:r>
        <w:t>subsection 2‑A</w:t>
      </w:r>
      <w:r>
        <w:t xml:space="preserve"> that:</w:t>
      </w:r>
    </w:p>
    <w:p>
      <w:pPr>
        <w:jc w:val="both"/>
        <w:spacing w:before="100" w:after="0"/>
        <w:ind w:start="720"/>
      </w:pPr>
      <w:r>
        <w:rPr/>
        <w:t>A</w:t>
        <w:t xml:space="preserve">.  </w:t>
      </w:r>
      <w:r>
        <w:rPr/>
      </w:r>
      <w:r>
        <w:t xml:space="preserve">The actor reasonably believed the person receiving the firearm had attained 18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The sale of the firearm to the person 16 years of age or older and under 18 years of age was approved by the parent, foster parent or guardian of the person 16 years of age or older and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263, §3 (NEW). PL 2003, c. 188, §1 (AMD). PL 2007, c. 512,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§554-A. Unlawful transfer of a firearm other than a handgun to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§554-A. Unlawful transfer of a firearm other than a handgun to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§554-A. UNLAWFUL TRANSFER OF A FIREARM OTHER THAN A HANDGUN TO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