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§760. FAILURE TO REPORT SEXUAL ASSAULT OF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