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Possession of gambling devices</w:t>
      </w:r>
    </w:p>
    <w:p>
      <w:pPr>
        <w:jc w:val="both"/>
        <w:spacing w:before="100" w:after="0"/>
        <w:ind w:start="360"/>
        <w:ind w:firstLine="360"/>
      </w:pPr>
      <w:r>
        <w:rPr>
          <w:b/>
        </w:rPr>
        <w:t>1</w:t>
        <w:t xml:space="preserve">.  </w:t>
      </w:r>
      <w:r>
        <w:rPr>
          <w:b/>
        </w:rPr>
      </w:r>
      <w:r>
        <w:t xml:space="preserve"> </w:t>
      </w:r>
      <w:r>
        <w:t xml:space="preserve">A person is guilty of possession of gambling devices if he manufactures, sells, transports, places, possesses or conducts or negotiates any transaction affecting or designed to affect ownership, custody or use of any gambling device, knowing it is to be used in the advancement of unlawful gambling activity,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Possession of gambling devices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§956. Possession of gambling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Possession of gambling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§956. POSSESSION OF GAMBLING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