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FRAUD AND FALSE PRETENSES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jc w:val="center"/>
        <w:ind w:start="360"/>
        <w:spacing w:before="300" w:after="300"/>
      </w:pPr>
      <w:r>
        <w:rPr>
          <w:b/>
        </w:rPr>
        <w:t>SUBCHAPTER</w:t>
        <w:t xml:space="preserve"> </w:t>
        <w:t>2</w:t>
      </w:r>
    </w:p>
    <w:p>
      <w:pPr>
        <w:jc w:val="center"/>
        <w:ind w:start="360"/>
        <w:spacing w:before="300" w:after="300"/>
      </w:pPr>
      <w:r>
        <w:rPr>
          <w:b/>
        </w:rPr>
        <w:t xml:space="preserve">COMMERCIAL FRAUDS</w:t>
      </w:r>
    </w:p>
    <w:p>
      <w:pPr>
        <w:jc w:val="center"/>
        <w:ind w:start="360"/>
        <w:spacing w:before="300" w:after="300"/>
      </w:pPr>
      <w:r>
        <w:rPr>
          <w:b/>
        </w:rPr>
        <w:t>ARTICLE</w:t>
        <w:t xml:space="preserve"> </w:t>
        <w:t>1</w:t>
      </w:r>
    </w:p>
    <w:p>
      <w:pPr>
        <w:jc w:val="center"/>
        <w:ind w:start="360"/>
        <w:spacing w:before="300" w:after="300"/>
      </w:pPr>
      <w:r>
        <w:rPr>
          <w:b/>
        </w:rPr>
        <w:t xml:space="preserve">BILLS OF LADING</w:t>
      </w:r>
    </w:p>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jc w:val="center"/>
        <w:ind w:start="360"/>
        <w:spacing w:before="300" w:after="300"/>
      </w:pPr>
      <w:r>
        <w:rPr>
          <w:b/>
        </w:rPr>
        <w:t>ARTICLE</w:t>
        <w:t xml:space="preserve"> </w:t>
        <w:t>2</w:t>
      </w:r>
    </w:p>
    <w:p>
      <w:pPr>
        <w:jc w:val="center"/>
        <w:ind w:start="360"/>
        <w:spacing w:before="300" w:after="300"/>
      </w:pPr>
      <w:r>
        <w:rPr>
          <w:b/>
        </w:rPr>
        <w:t xml:space="preserve">WAREHOUSE RECEIPTS</w:t>
      </w:r>
    </w:p>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center"/>
        <w:ind w:start="360"/>
        <w:spacing w:before="300" w:after="300"/>
      </w:pPr>
      <w:r>
        <w:rPr>
          <w:b/>
        </w:rPr>
        <w:t>SUBCHAPTER</w:t>
        <w:t xml:space="preserve"> </w:t>
        <w:t>3</w:t>
      </w:r>
    </w:p>
    <w:p>
      <w:pPr>
        <w:jc w:val="center"/>
        <w:ind w:start="360"/>
        <w:spacing w:before="300" w:after="300"/>
      </w:pPr>
      <w:r>
        <w:rPr>
          <w:b/>
        </w:rPr>
        <w:t xml:space="preserve">MARITIME FRAUDS</w:t>
      </w:r>
    </w:p>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59. FRAUD AND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FRAUD AND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59. FRAUD AND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