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w:t>
      </w:r>
    </w:p>
    <w:p>
      <w:pPr>
        <w:jc w:val="center"/>
        <w:ind w:start="360"/>
        <w:spacing w:before="300" w:after="300"/>
      </w:pPr>
      <w:r>
        <w:rPr>
          <w:b/>
        </w:rPr>
        <w:t xml:space="preserve">LITTER CONTROL</w:t>
      </w:r>
    </w:p>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80. LITTER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 LITTER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80. LITTER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