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Inspection</w:t>
      </w:r>
    </w:p>
    <w:p>
      <w:pPr>
        <w:jc w:val="both"/>
        <w:spacing w:before="100" w:after="100"/>
        <w:ind w:start="360"/>
        <w:ind w:firstLine="360"/>
      </w:pPr>
      <w:r>
        <w:rPr/>
      </w:r>
      <w:r>
        <w:rPr/>
      </w:r>
      <w:r>
        <w:t xml:space="preserve">The Department of Agriculture, Conservation and Forestry may inspect or investigate any facility in which cats or dogs are destroyed.</w:t>
      </w:r>
      <w:r>
        <w:t xml:space="preserve">  </w:t>
      </w:r>
      <w:r xmlns:wp="http://schemas.openxmlformats.org/drawingml/2010/wordprocessingDrawing" xmlns:w15="http://schemas.microsoft.com/office/word/2012/wordml">
        <w:rPr>
          <w:rFonts w:ascii="Arial" w:hAnsi="Arial" w:cs="Arial"/>
          <w:sz w:val="22"/>
          <w:szCs w:val="22"/>
        </w:rPr>
        <w:t xml:space="preserve">[PL 1991, c. 779, §51 (AMD); PL 1991, c. 779, §59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§51 (AMD). PL 1991, c. 779, §59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