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§1838. Revenue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Revenue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§1838. REVENUE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