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Failure to pay for trees harvested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products" means logs, pulpwood, veneer, bolt wood, wood chips, stud wood, poles, pilings, biomass fuel wood, fuel wood or other products commonly known as forest products, but does not include Christmas trees, maple syrup, nursery products used for ornamental purposes, wreaths, bough material, cones or other seed crops.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"Handling or processing facility" means sawmills; bolter mills; shingle mills; veneer mills; fence pole and piling making operations; pulp and paper mills; wafer board, particle board and plywood mills; whole tree chippers; commercial fuel wood processors; custom wood processing mills; and log yards established to accumulate logs awaiting shipment to these facilities.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"Harvest operation" means the harvest of forest products on land in a single municipality or township.  Land harvested need not be contiguous, and more than one harvester may work a harvest operation.</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0"/>
        <w:ind w:start="360"/>
        <w:ind w:firstLine="360"/>
      </w:pPr>
      <w:r>
        <w:rPr>
          <w:b/>
        </w:rPr>
        <w:t>2</w:t>
        <w:t xml:space="preserve">.  </w:t>
      </w:r>
      <w:r>
        <w:rPr>
          <w:b/>
        </w:rPr>
        <w:t xml:space="preserve">Payment required within 45 days.</w:t>
        <w:t xml:space="preserve"> </w:t>
      </w:r>
      <w:r>
        <w:t xml:space="preserve"> </w:t>
      </w:r>
      <w:r>
        <w:t xml:space="preserve">Absent a written contract that indicates different payment terms between the landowner and the person conducting a harvest operation, the person conducting the harvest operation shall provide to the landowner full payment for each truckload of harvested forest products transported to a handling or processing facility within 45 days of delivery to the handling or processing facility.  In accordance with </w:t>
      </w:r>
      <w:r>
        <w:t>Title 10, section 2364‑A</w:t>
      </w:r>
      <w:r>
        <w:t xml:space="preserve">, subsection 2, paragraph G, the person conducting the harvest operation shall provide to the landowner a copy of the measurement tally sheet or stumpage sheet for each truckload of forest products transported to a handling or processing facility when the person conducting the harvest operation pays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2</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A person who violates </w:t>
      </w:r>
      <w:r>
        <w:t>subsection 2</w:t>
      </w:r>
      <w:r>
        <w:t xml:space="preserve"> after having been adjudicated as having violated </w:t>
      </w:r>
      <w:r>
        <w:t>subsection 2</w:t>
      </w:r>
      <w:r>
        <w:t xml:space="preserve"> within the previous 5 years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A person who violates </w:t>
      </w:r>
      <w:r>
        <w:t>subsection 2</w:t>
      </w:r>
      <w:r>
        <w:t xml:space="preserve"> after having been adjudicated as having committed 2 or more civil violations under </w:t>
      </w:r>
      <w:r>
        <w:t>subsection 2</w:t>
      </w:r>
      <w:r>
        <w:t xml:space="preserve"> within the previous 5 years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D</w:t>
        <w:t xml:space="preserve">.  </w:t>
      </w:r>
      <w:r>
        <w:rPr/>
      </w:r>
      <w:r>
        <w:t xml:space="preserve">In addition to any other penalties imposed in this subsection, the court may order a person adjudicated as having violated this section to provide upon request to any forest ranger of the Department of Agriculture, Conservation and Forestry, Bureau of Forestry copies of measurement tally sheets for subsequent harvest operations being conducted by the violator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2005, c. 546, §1 (NEW); PL 2011, c. 657, Pt. W, §§5,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w:t>
      </w:r>
    </w:p>
    <w:p>
      <w:pPr>
        <w:jc w:val="both"/>
        <w:spacing w:before="100" w:after="100"/>
        <w:ind w:start="360"/>
        <w:ind w:firstLine="360"/>
      </w:pPr>
      <w:r>
        <w:rPr>
          <w:b/>
        </w:rPr>
        <w:t>4</w:t>
        <w:t xml:space="preserve">.  </w:t>
      </w:r>
      <w:r>
        <w:rPr>
          <w:b/>
        </w:rPr>
        <w:t xml:space="preserve">Restitution.</w:t>
        <w:t xml:space="preserve"> </w:t>
      </w:r>
      <w:r>
        <w:t xml:space="preserve"> </w:t>
      </w:r>
      <w:r>
        <w:t xml:space="preserve">In addition to any penalties imposed pursuant to </w:t>
      </w:r>
      <w:r>
        <w:t>subsection 3</w:t>
      </w:r>
      <w:r>
        <w:t xml:space="preserve"> and, when appropriate, in accordance with the requirements of </w:t>
      </w:r>
      <w:r>
        <w:t>Title 17‑A, chapter 69</w:t>
      </w:r>
      <w:r>
        <w:t xml:space="preserve">, the court shall order restitution to the landowner on the basis of an adequate factual foundation.  The amount of restitution may be determined by using the measured volume of the harvested forest products as listed on the measurement tally sheet or stumpage sheet in accordance with </w:t>
      </w:r>
      <w:r>
        <w:t>Title 10, section 2364‑A, subsection 2</w:t>
      </w:r>
      <w:r>
        <w:t xml:space="preserve"> and by the terms of the sales contract according to the measurement procedures set forth in </w:t>
      </w:r>
      <w:r>
        <w:t>Title 10, section 2363‑A</w:t>
      </w:r>
      <w:r>
        <w:t xml:space="preserve"> that are applicable to a sale of wood.</w:t>
      </w:r>
    </w:p>
    <w:p>
      <w:pPr>
        <w:jc w:val="both"/>
        <w:spacing w:before="100" w:after="0"/>
        <w:ind w:start="360"/>
      </w:pPr>
      <w:r>
        <w:rPr/>
      </w:r>
      <w:r>
        <w:rPr/>
      </w:r>
      <w:r>
        <w:t xml:space="preserve">Any restitution ordered and paid must be deducted from the amount of any restitution awarded in a civil action brought by the owner or the State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§56 (AMD).]</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fallen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 PL 2019, c. 113, Pt. C,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Failure to pay for trees harvested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Failure to pay for trees harvested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§2512. FAILURE TO PAY FOR TREES HARVESTED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