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Stay on security to discontinue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Stay on security to discontinue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§2703. STAY ON SECURITY TO DISCONTINUE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