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Appeal; hearing</w:t>
      </w:r>
    </w:p>
    <w:p>
      <w:pPr>
        <w:jc w:val="both"/>
        <w:spacing w:before="100" w:after="100"/>
        <w:ind w:start="360"/>
        <w:ind w:firstLine="360"/>
      </w:pPr>
      <w:r>
        <w:rPr/>
      </w:r>
      <w:r>
        <w:rPr/>
      </w:r>
      <w:r>
        <w:t xml:space="preserve">An appeal from a decision of the municipal officers or county commissioners under </w:t>
      </w:r>
      <w:r>
        <w:t>section 2851</w:t>
      </w:r>
      <w:r>
        <w:t xml:space="preserve"> or </w:t>
      </w:r>
      <w:r>
        <w:t>section 2856</w:t>
      </w:r>
      <w:r>
        <w:t xml:space="preserve"> must be to the Superior Court, pursuant to the provisions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136,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1979, c. 27, §4 (RPR). PL 1997, c. 6, §2 (AMD). PL 2017, c. 136,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§2852. Appeal;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Appeal;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§2852. APPEAL;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