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§2856. SECURING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