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2858</w:t>
        <w:t xml:space="preserve">.  </w:t>
      </w:r>
      <w:r>
        <w:rPr>
          <w:b/>
        </w:rPr>
        <w:t xml:space="preserve">Consent to removal</w:t>
      </w:r>
    </w:p>
    <w:p>
      <w:pPr>
        <w:jc w:val="both"/>
        <w:spacing w:before="100" w:after="100"/>
        <w:ind w:start="360"/>
        <w:ind w:firstLine="360"/>
      </w:pPr>
      <w:r>
        <w:rPr/>
      </w:r>
      <w:r>
        <w:rPr/>
      </w:r>
      <w:r>
        <w:t xml:space="preserve">The owner or a party in interest of a dangerous building may consent to its removal and to the recovery of the expenses incurred by a municipality or county by means of a special tax as set forth in this subchapter. Notices of the consent must be recorded in the Registry of Deeds located in the county where the building is situated.</w:t>
      </w:r>
      <w:r>
        <w:t xml:space="preserve">  </w:t>
      </w:r>
      <w:r xmlns:wp="http://schemas.openxmlformats.org/drawingml/2010/wordprocessingDrawing" xmlns:w15="http://schemas.microsoft.com/office/word/2012/wordml">
        <w:rPr>
          <w:rFonts w:ascii="Arial" w:hAnsi="Arial" w:cs="Arial"/>
          <w:sz w:val="22"/>
          <w:szCs w:val="22"/>
        </w:rPr>
        <w:t xml:space="preserve">[PL 2017, c. 136,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 §6 (NEW). PL 2017, c. 136,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§2858. Consent to removal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§2858. Consent to removal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§2858. CONSENT TO REMOVAL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