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Reports</w:t>
      </w:r>
    </w:p>
    <w:p>
      <w:pPr>
        <w:jc w:val="both"/>
        <w:spacing w:before="100" w:after="100"/>
        <w:ind w:start="360"/>
        <w:ind w:firstLine="360"/>
      </w:pPr>
      <w:r>
        <w:rPr/>
      </w:r>
      <w:r>
        <w:rPr/>
      </w:r>
      <w:r>
        <w:t xml:space="preserve">The Gambling Control Unit shall require from any organization licensed or registered to operate "Beano" or "Bingo" and any individual, corporation, partnership or unincorporated association that has a permit to operate a commercial beano hall whatever reports the unit determines necessary for the purpose of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1999, c. 74, §4 (AMD). PL 2017, c. 284, Pt. JJJJJ,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§322.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