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9-304</w:t>
        <w:t xml:space="preserve">.  </w:t>
      </w:r>
      <w:r>
        <w:rPr>
          <w:b/>
        </w:rPr>
        <w:t xml:space="preserve">Investigation; guardian ad litem;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§5 (AMD). PL 1997, c. 239, §6 (AFF). RR 2001, c. 1, §21 (COR). PL 2001, c. 52, §§2,3 (AMD). PL 2001, c. 546, §1 (AMD). PL 2003, c. 575, §§1,2 (AMD). PL 2005, c. 366, §1 (AMD). PL 2007, c. 513, §1 (AMD). PL 2013, c. 267, Pt. B, §§12, 13 (AMD). PL 2015, c. 274, §4 (AMD). PL 2017, c. 64, §§1,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§9-304. Investigation; guardian ad litem;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§9-304. Investigation; guardian ad litem;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§9-304. INVESTIGATION; GUARDIAN AD LITEM;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