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Others treated as qualified beneficiaries</w:t>
      </w:r>
    </w:p>
    <w:p>
      <w:pPr>
        <w:jc w:val="both"/>
        <w:spacing w:before="100" w:after="100"/>
        <w:ind w:start="360"/>
        <w:ind w:firstLine="360"/>
      </w:pPr>
      <w:r>
        <w:rPr>
          <w:b/>
        </w:rPr>
        <w:t>1</w:t>
        <w:t xml:space="preserve">.  </w:t>
      </w:r>
      <w:r>
        <w:rPr>
          <w:b/>
        </w:rPr>
        <w:t xml:space="preserve">Charitable organization or person to enforce trust.</w:t>
        <w:t xml:space="preserve"> </w:t>
      </w:r>
      <w:r>
        <w:t xml:space="preserve"> </w:t>
      </w:r>
      <w:r>
        <w:t xml:space="preserve">A charitable organization expressly designated to receive distributions under the terms of a charitable trust has the rights of a qualified beneficiary under this Code if the charitable organization, on the date the charitable organization's qualification is being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B</w:t>
        <w:t xml:space="preserve">.  </w:t>
      </w:r>
      <w:r>
        <w:rPr/>
      </w:r>
      <w:r>
        <w:t xml:space="preserve">Would be a distributee or a permissible distributee of trust income or principal upon the termination of the interests of other distributees or permissible distributees then receiving or eligible to receive distributions; or</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2017, c. 39, §1 (AMD).]</w:t>
      </w:r>
    </w:p>
    <w:p>
      <w:pPr>
        <w:jc w:val="both"/>
        <w:spacing w:before="100" w:after="0"/>
        <w:ind w:start="360"/>
      </w:pPr>
      <w:r>
        <w:rPr/>
      </w:r>
      <w:r>
        <w:rPr/>
      </w:r>
      <w:r>
        <w:t xml:space="preserve">A charitable organization whose interest in the trust as a contingent distributee of the trust income or principal is not reasonably expected to vest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 §1 (AMD).]</w:t>
      </w:r>
    </w:p>
    <w:p>
      <w:pPr>
        <w:jc w:val="both"/>
        <w:spacing w:before="100" w:after="0"/>
        <w:ind w:start="360"/>
        <w:ind w:firstLine="360"/>
      </w:pPr>
      <w:r>
        <w:rPr>
          <w:b/>
        </w:rPr>
        <w:t>1-A</w:t>
        <w:t xml:space="preserve">.  </w:t>
      </w:r>
      <w:r>
        <w:rPr>
          <w:b/>
        </w:rPr>
        <w:t xml:space="preserve">Person appointed to enforce trust.</w:t>
        <w:t xml:space="preserve"> </w:t>
      </w:r>
      <w:r>
        <w:t xml:space="preserve"> </w:t>
      </w:r>
      <w:r>
        <w:t xml:space="preserve">A person appointed to enforce a trust created for the care of an animal or another noncharitable purpose as provided in </w:t>
      </w:r>
      <w:r>
        <w:t>section 408</w:t>
      </w:r>
      <w:r>
        <w:t xml:space="preserve"> or </w:t>
      </w:r>
      <w:r>
        <w:t>409</w:t>
      </w:r>
      <w:r>
        <w:t xml:space="preserve"> has the rights of a qualified beneficiary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(NEW).]</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has the rights provided in </w:t>
      </w:r>
      <w:r>
        <w:t>Title 5, section 194</w:t>
      </w:r>
      <w:r>
        <w:t xml:space="preserve"> with respect to a charitable trust having its principal place of administration in this State, but may not be treated as and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§7 (AMD). PL 2017, c. 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 Others treated as qualified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Others treated as qualified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§110. OTHERS TREATED AS QUALIFIED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