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1229</w:t>
        <w:t xml:space="preserve">.  </w:t>
      </w:r>
      <w:r>
        <w:rPr>
          <w:b/>
        </w:rPr>
        <w:t xml:space="preserve">Effective date</w:t>
      </w:r>
    </w:p>
    <w:p>
      <w:pPr>
        <w:jc w:val="both"/>
        <w:spacing w:before="100" w:after="100"/>
        <w:ind w:start="360"/>
        <w:ind w:firstLine="360"/>
      </w:pPr>
      <w:r>
        <w:rPr/>
      </w:r>
      <w:r>
        <w:rPr/>
      </w:r>
      <w:r>
        <w:t xml:space="preserve">This Act takes effect October 1, 2021.</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100"/>
        <w:ind w:start="360"/>
      </w:pPr>
      <w:r>
        <w:rPr>
          <w:b w:val="true"/>
          <w:i/>
          <w:caps w:val="true"/>
        </w:rPr>
        <w:t xml:space="preserve">Revisor's Note: </w:t>
      </w:r>
      <w:r>
        <w:t>Notwithstanding the stated effective date of October 1, 2021 set forth in this section, PL 2021, chapter 235, which enacted this chapter, took effect on October 18, 2021, 90 days after the adjournment of the First Special Session of the 130th Legislature.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§1229.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§1229.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§1229.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