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DETERMINATION OF PARENTAGE AND TERMINATION OF PARENTAL RIGHTS</w:t>
      </w:r>
    </w:p>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If assistance under the program continues for more than one year, the need for assistance must be annually redetermined.  Adoption assistance continues regardless of the state in which the adoptive parents reside, or the state to which the adoptive parents move, as long as the adoptive parents continue to be eligible based on the annual redetermination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9.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9.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