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Construction against implied repeal</w:t>
      </w:r>
    </w:p>
    <w:p>
      <w:pPr>
        <w:jc w:val="both"/>
        <w:spacing w:before="100" w:after="100"/>
        <w:ind w:start="360"/>
        <w:ind w:firstLine="360"/>
      </w:pPr>
      <w:r>
        <w:rPr/>
      </w:r>
      <w:r>
        <w:rPr/>
      </w:r>
      <w:r>
        <w:t xml:space="preserve">This Code is a general act intended to provide unified coverage of its subject matter and no part of it may be considered impliedly repealed by subsequent legislation if it can reasonably be avoided.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§1-104. Construction against implied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Construction against implied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§1-104. CONSTRUCTION AGAINST IMPLIED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