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Register; powers</w:t>
      </w:r>
    </w:p>
    <w:p>
      <w:pPr>
        <w:jc w:val="both"/>
        <w:spacing w:before="100" w:after="100"/>
        <w:ind w:start="360"/>
        <w:ind w:firstLine="360"/>
      </w:pPr>
      <w:r>
        <w:rPr/>
      </w:r>
      <w:r>
        <w:rPr/>
      </w:r>
      <w:r>
        <w:t xml:space="preserve">The register has the power to probate wills, appoint personal representatives as provided in </w:t>
      </w:r>
      <w:r>
        <w:t>sections 3‑302</w:t>
      </w:r>
      <w:r>
        <w:t xml:space="preserve"> and </w:t>
      </w:r>
      <w:r>
        <w:t>3‑307</w:t>
      </w:r>
      <w:r>
        <w:t xml:space="preserve"> and perform other duties set out in this Code.  The acts and orders that may be performed by the register under this Code may also be performed by a judge of the court or by a deputy register appointed under the provisions of </w:t>
      </w:r>
      <w:r>
        <w:t>section 1‑506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§1-307. Register;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Register;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§1-307. REGISTER;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